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A257C" w14:textId="77777777"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2819" wp14:editId="75C6105C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9E345" w14:textId="77777777"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E232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OwkHXnfAAAADAEAAA8AAAAAAAAAAAAAAAAAfQQAAGRycy9kb3du&#10;cmV2LnhtbFBLBQYAAAAABAAEAPMAAACJBQAAAAA=&#10;" filled="f" strokeweight=".16936mm">
                <v:textbox inset="0,0,0,0">
                  <w:txbxContent>
                    <w:p w14:paraId="4669E345" w14:textId="77777777"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14:paraId="5D2CBF97" w14:textId="77777777" w:rsidR="005F57C8" w:rsidRDefault="005F57C8">
      <w:pPr>
        <w:pStyle w:val="a3"/>
        <w:rPr>
          <w:b/>
          <w:sz w:val="20"/>
        </w:rPr>
      </w:pPr>
    </w:p>
    <w:p w14:paraId="18BEF0E1" w14:textId="77777777"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 w14:paraId="5594EBA4" w14:textId="77777777">
        <w:trPr>
          <w:trHeight w:val="254"/>
        </w:trPr>
        <w:tc>
          <w:tcPr>
            <w:tcW w:w="9982" w:type="dxa"/>
            <w:gridSpan w:val="2"/>
          </w:tcPr>
          <w:p w14:paraId="702BA63A" w14:textId="77777777"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 w14:paraId="3952EE90" w14:textId="77777777">
        <w:trPr>
          <w:trHeight w:val="757"/>
        </w:trPr>
        <w:tc>
          <w:tcPr>
            <w:tcW w:w="4566" w:type="dxa"/>
          </w:tcPr>
          <w:p w14:paraId="4D20D40F" w14:textId="77777777"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>1.1. 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14:paraId="7F742959" w14:textId="77777777"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14:paraId="26633CBC" w14:textId="77777777"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14:paraId="481DC672" w14:textId="77777777"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 w14:paraId="1FC26E01" w14:textId="77777777">
        <w:trPr>
          <w:trHeight w:val="506"/>
        </w:trPr>
        <w:tc>
          <w:tcPr>
            <w:tcW w:w="4566" w:type="dxa"/>
          </w:tcPr>
          <w:p w14:paraId="3D96DA69" w14:textId="77777777"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14:paraId="5F45CEA7" w14:textId="77777777"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1415B4B6" w14:textId="77777777"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 w14:paraId="64A86BF9" w14:textId="77777777">
        <w:trPr>
          <w:trHeight w:val="253"/>
        </w:trPr>
        <w:tc>
          <w:tcPr>
            <w:tcW w:w="4566" w:type="dxa"/>
          </w:tcPr>
          <w:p w14:paraId="0102E593" w14:textId="77777777"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672DD745" w14:textId="77777777"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 w14:paraId="24A75730" w14:textId="77777777">
        <w:trPr>
          <w:trHeight w:val="251"/>
        </w:trPr>
        <w:tc>
          <w:tcPr>
            <w:tcW w:w="4566" w:type="dxa"/>
          </w:tcPr>
          <w:p w14:paraId="2C432911" w14:textId="77777777"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278B4373" w14:textId="77777777"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 w14:paraId="194630B3" w14:textId="77777777">
        <w:trPr>
          <w:trHeight w:val="253"/>
        </w:trPr>
        <w:tc>
          <w:tcPr>
            <w:tcW w:w="4566" w:type="dxa"/>
          </w:tcPr>
          <w:p w14:paraId="42C8A00F" w14:textId="77777777"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5B12E33" w14:textId="77777777"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 w14:paraId="47ADA85C" w14:textId="77777777">
        <w:trPr>
          <w:trHeight w:val="505"/>
        </w:trPr>
        <w:tc>
          <w:tcPr>
            <w:tcW w:w="4566" w:type="dxa"/>
          </w:tcPr>
          <w:p w14:paraId="34C6F229" w14:textId="77777777"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14:paraId="4F44CC09" w14:textId="77777777"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1D545781" w14:textId="77777777"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 w14:paraId="7C470772" w14:textId="77777777">
        <w:trPr>
          <w:trHeight w:val="761"/>
        </w:trPr>
        <w:tc>
          <w:tcPr>
            <w:tcW w:w="4566" w:type="dxa"/>
          </w:tcPr>
          <w:p w14:paraId="6C20A99C" w14:textId="77777777"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14:paraId="3C17BDDB" w14:textId="77777777"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14:paraId="75DB61E2" w14:textId="77777777" w:rsidR="005F57C8" w:rsidRDefault="007B3EA3">
            <w:pPr>
              <w:pStyle w:val="TableParagraph"/>
              <w:spacing w:line="247" w:lineRule="exact"/>
            </w:pPr>
            <w:hyperlink r:id="rId5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BF5936E" w14:textId="77777777" w:rsidR="005F57C8" w:rsidRDefault="005F57C8">
      <w:pPr>
        <w:pStyle w:val="a3"/>
        <w:rPr>
          <w:b/>
          <w:sz w:val="20"/>
        </w:rPr>
      </w:pPr>
    </w:p>
    <w:p w14:paraId="2725B5E9" w14:textId="77777777"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6E8BFD" wp14:editId="0DFD386A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4D5F" w14:textId="13D6694C" w:rsidR="005F57C8" w:rsidRDefault="007B3EA3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27 июня 2024</w:t>
                            </w:r>
                            <w:r w:rsidR="0078270E">
                              <w:t xml:space="preserve"> года решением годов</w:t>
                            </w:r>
                            <w:r w:rsidR="006E54CF"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 w:rsidR="006E54CF"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 w:rsidR="001353EB">
                              <w:t xml:space="preserve"> «Новосибирскэнергосбыт» за 20</w:t>
                            </w:r>
                            <w:r w:rsidR="00F242E0">
                              <w:t>2</w:t>
                            </w:r>
                            <w:r>
                              <w:t>3</w:t>
                            </w:r>
                            <w:r w:rsidR="006E54CF">
                              <w:t xml:space="preserve"> </w:t>
                            </w:r>
                            <w:r w:rsidR="0078270E">
                              <w:t xml:space="preserve">г. (Протокол </w:t>
                            </w:r>
                            <w:proofErr w:type="gramStart"/>
                            <w:r w:rsidR="0078270E">
                              <w:t xml:space="preserve">№ </w:t>
                            </w:r>
                            <w:r w:rsidR="006E54CF">
                              <w:t xml:space="preserve"> б</w:t>
                            </w:r>
                            <w:proofErr w:type="gramEnd"/>
                            <w:r w:rsidR="006E54CF">
                              <w:t xml:space="preserve">/н от </w:t>
                            </w:r>
                            <w:r w:rsidR="001353EB">
                              <w:t xml:space="preserve"> </w:t>
                            </w:r>
                            <w:r>
                              <w:t>27.06.2024</w:t>
                            </w:r>
                            <w:r w:rsidR="000F3035">
                              <w:t xml:space="preserve">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E8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" filled="f" strokeweight=".16936mm">
                <v:textbox inset="0,0,0,0">
                  <w:txbxContent>
                    <w:p w14:paraId="35624D5F" w14:textId="13D6694C" w:rsidR="005F57C8" w:rsidRDefault="007B3EA3">
                      <w:pPr>
                        <w:pStyle w:val="a3"/>
                        <w:ind w:left="23" w:right="280"/>
                        <w:jc w:val="both"/>
                      </w:pPr>
                      <w:r>
                        <w:t>27 июня 2024</w:t>
                      </w:r>
                      <w:r w:rsidR="0078270E">
                        <w:t xml:space="preserve"> года решением годов</w:t>
                      </w:r>
                      <w:r w:rsidR="006E54CF"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 w:rsidR="006E54CF"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 w:rsidR="001353EB">
                        <w:t xml:space="preserve"> «Новосибирскэнергосбыт» за 20</w:t>
                      </w:r>
                      <w:r w:rsidR="00F242E0">
                        <w:t>2</w:t>
                      </w:r>
                      <w:r>
                        <w:t>3</w:t>
                      </w:r>
                      <w:r w:rsidR="006E54CF">
                        <w:t xml:space="preserve"> </w:t>
                      </w:r>
                      <w:r w:rsidR="0078270E">
                        <w:t xml:space="preserve">г. (Протокол </w:t>
                      </w:r>
                      <w:proofErr w:type="gramStart"/>
                      <w:r w:rsidR="0078270E">
                        <w:t xml:space="preserve">№ </w:t>
                      </w:r>
                      <w:r w:rsidR="006E54CF">
                        <w:t xml:space="preserve"> б</w:t>
                      </w:r>
                      <w:proofErr w:type="gramEnd"/>
                      <w:r w:rsidR="006E54CF">
                        <w:t xml:space="preserve">/н от </w:t>
                      </w:r>
                      <w:r w:rsidR="001353EB">
                        <w:t xml:space="preserve"> </w:t>
                      </w:r>
                      <w:r>
                        <w:t>27.06.2024</w:t>
                      </w:r>
                      <w:r w:rsidR="000F3035">
                        <w:t xml:space="preserve">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0620A" w14:textId="77777777"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 w14:paraId="1EF44107" w14:textId="77777777">
        <w:trPr>
          <w:trHeight w:val="278"/>
        </w:trPr>
        <w:tc>
          <w:tcPr>
            <w:tcW w:w="9984" w:type="dxa"/>
            <w:gridSpan w:val="5"/>
          </w:tcPr>
          <w:p w14:paraId="2B7E14E4" w14:textId="77777777"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 w14:paraId="5D5F7175" w14:textId="77777777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14:paraId="1B6F66FD" w14:textId="77777777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BCEA94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2414A42" w14:textId="441314EA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</w:t>
            </w:r>
            <w:proofErr w:type="gramStart"/>
            <w:r>
              <w:rPr>
                <w:sz w:val="24"/>
              </w:rPr>
              <w:t xml:space="preserve">   “</w:t>
            </w:r>
            <w:proofErr w:type="gramEnd"/>
            <w:r>
              <w:rPr>
                <w:spacing w:val="19"/>
                <w:sz w:val="24"/>
                <w:u w:val="single"/>
              </w:rPr>
              <w:t xml:space="preserve"> </w:t>
            </w:r>
            <w:r w:rsidR="007B3EA3">
              <w:rPr>
                <w:spacing w:val="19"/>
                <w:sz w:val="24"/>
                <w:u w:val="single"/>
              </w:rPr>
              <w:t>27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EC4E00">
              <w:rPr>
                <w:sz w:val="24"/>
                <w:u w:val="single"/>
              </w:rPr>
              <w:t xml:space="preserve"> </w:t>
            </w:r>
            <w:r w:rsidR="007B3EA3">
              <w:rPr>
                <w:sz w:val="24"/>
                <w:u w:val="single"/>
              </w:rPr>
              <w:t>июня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7DCA9FA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15C26DB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274B8131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51B15F0B" w14:textId="0E3AFF0F" w:rsidR="00067A4E" w:rsidRDefault="0078270E">
            <w:pPr>
              <w:pStyle w:val="TableParagraph"/>
              <w:spacing w:before="1"/>
              <w:ind w:left="301" w:right="-15"/>
              <w:rPr>
                <w:sz w:val="24"/>
                <w:u w:val="single"/>
              </w:rPr>
            </w:pPr>
            <w:r>
              <w:rPr>
                <w:sz w:val="24"/>
              </w:rPr>
              <w:t>20</w:t>
            </w:r>
            <w:r w:rsidR="00EC4E00">
              <w:rPr>
                <w:sz w:val="24"/>
                <w:u w:val="single"/>
              </w:rPr>
              <w:t>2</w:t>
            </w:r>
            <w:r w:rsidR="007B3EA3">
              <w:rPr>
                <w:sz w:val="24"/>
                <w:u w:val="single"/>
              </w:rPr>
              <w:t>4</w:t>
            </w:r>
            <w:bookmarkStart w:id="0" w:name="_GoBack"/>
            <w:bookmarkEnd w:id="0"/>
          </w:p>
          <w:p w14:paraId="16A80248" w14:textId="1C980C5A" w:rsidR="005F57C8" w:rsidRDefault="005F57C8">
            <w:pPr>
              <w:pStyle w:val="TableParagraph"/>
              <w:spacing w:before="1"/>
              <w:ind w:left="301" w:right="-15"/>
              <w:rPr>
                <w:sz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466C3097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F90DFAE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3E1F359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7E416EB3" w14:textId="77777777"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2F40D345" w14:textId="77777777"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4F5DCD9" w14:textId="77777777"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4726686B" w14:textId="77777777"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2780A6D1" w14:textId="77777777"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14:paraId="0D8C6084" w14:textId="77777777"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 xml:space="preserve">К.Н.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14:paraId="3190769D" w14:textId="77777777"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C8"/>
    <w:rsid w:val="00067A4E"/>
    <w:rsid w:val="000F3035"/>
    <w:rsid w:val="001353EB"/>
    <w:rsid w:val="004B4996"/>
    <w:rsid w:val="005F57C8"/>
    <w:rsid w:val="00643B05"/>
    <w:rsid w:val="006E54CF"/>
    <w:rsid w:val="0078270E"/>
    <w:rsid w:val="007B3EA3"/>
    <w:rsid w:val="009413B0"/>
    <w:rsid w:val="00B52E5C"/>
    <w:rsid w:val="00BB2D9D"/>
    <w:rsid w:val="00C37D35"/>
    <w:rsid w:val="00CD38B2"/>
    <w:rsid w:val="00E726A9"/>
    <w:rsid w:val="00EC4E00"/>
    <w:rsid w:val="00F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FC4"/>
  <w15:docId w15:val="{D30B175C-3706-498A-B0CF-4E04C5E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3</cp:revision>
  <dcterms:created xsi:type="dcterms:W3CDTF">2024-06-27T12:37:00Z</dcterms:created>
  <dcterms:modified xsi:type="dcterms:W3CDTF">2024-06-27T12:39:00Z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